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434CF" w:rsidRPr="000C2940">
        <w:tc>
          <w:tcPr>
            <w:tcW w:w="5070" w:type="dxa"/>
          </w:tcPr>
          <w:p w:rsidR="00E434CF" w:rsidRPr="000C2940" w:rsidRDefault="00E434CF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434CF" w:rsidRPr="000C2940" w:rsidRDefault="00E434CF" w:rsidP="0011252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E434CF" w:rsidRPr="000C2940" w:rsidRDefault="00E434C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434CF" w:rsidRPr="000C2940" w:rsidRDefault="00E434C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E434CF" w:rsidRPr="000C2940" w:rsidRDefault="00E434CF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0C2940">
        <w:rPr>
          <w:b/>
          <w:sz w:val="28"/>
          <w:szCs w:val="28"/>
        </w:rPr>
        <w:t xml:space="preserve">планировки территории, ограниченной </w:t>
      </w:r>
      <w:r w:rsidRPr="009B2005">
        <w:rPr>
          <w:b/>
          <w:spacing w:val="-3"/>
          <w:sz w:val="28"/>
          <w:szCs w:val="28"/>
        </w:rPr>
        <w:t>улицами Порт-Артурской, Широкой, полосой отвода железной дороги и Толмачевским шоссе, в Ленинском районе</w:t>
      </w:r>
      <w:r w:rsidRPr="000C2940">
        <w:rPr>
          <w:b/>
          <w:spacing w:val="-3"/>
          <w:sz w:val="28"/>
          <w:szCs w:val="28"/>
        </w:rPr>
        <w:t>»</w:t>
      </w:r>
    </w:p>
    <w:p w:rsidR="00E434CF" w:rsidRPr="000C2940" w:rsidRDefault="00E434CF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Постановление мэрии города Новосибирс</w:t>
      </w:r>
      <w:r>
        <w:rPr>
          <w:szCs w:val="28"/>
        </w:rPr>
        <w:t>ка от 05.</w:t>
      </w:r>
      <w:r w:rsidRPr="000C2940">
        <w:rPr>
          <w:szCs w:val="28"/>
        </w:rPr>
        <w:t>0</w:t>
      </w:r>
      <w:r>
        <w:rPr>
          <w:szCs w:val="28"/>
        </w:rPr>
        <w:t>8</w:t>
      </w:r>
      <w:r w:rsidRPr="000C2940">
        <w:rPr>
          <w:szCs w:val="28"/>
        </w:rPr>
        <w:t>.2015</w:t>
      </w:r>
      <w:r>
        <w:rPr>
          <w:szCs w:val="28"/>
        </w:rPr>
        <w:t xml:space="preserve"> </w:t>
      </w:r>
      <w:r w:rsidRPr="000C2940">
        <w:rPr>
          <w:szCs w:val="28"/>
        </w:rPr>
        <w:t>№</w:t>
      </w:r>
      <w:r>
        <w:rPr>
          <w:szCs w:val="28"/>
        </w:rPr>
        <w:t> 5077</w:t>
      </w:r>
      <w:r w:rsidRPr="000C2940">
        <w:rPr>
          <w:szCs w:val="28"/>
        </w:rPr>
        <w:t xml:space="preserve"> «О назначении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>
        <w:rPr>
          <w:szCs w:val="28"/>
        </w:rPr>
        <w:t>06</w:t>
      </w:r>
      <w:r w:rsidRPr="000C2940">
        <w:rPr>
          <w:szCs w:val="28"/>
        </w:rPr>
        <w:t>.0</w:t>
      </w:r>
      <w:r>
        <w:rPr>
          <w:szCs w:val="28"/>
        </w:rPr>
        <w:t>8.2015 № 33</w:t>
      </w:r>
      <w:r w:rsidRPr="000C2940">
        <w:rPr>
          <w:szCs w:val="28"/>
        </w:rPr>
        <w:t xml:space="preserve"> и размещено на официальном сайте города Новосибирска.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Публичные слушания по проекту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09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0C2940">
        <w:rPr>
          <w:szCs w:val="28"/>
        </w:rPr>
        <w:t>2015 года.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E434CF" w:rsidRPr="000C2940" w:rsidRDefault="00E434CF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 xml:space="preserve">». 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E434CF" w:rsidRPr="000C2940" w:rsidRDefault="00E434CF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3. Проект постановления мэрии города Новосибирска «Об утверждении проекта планировки территории, ограниченной </w:t>
      </w:r>
      <w:r w:rsidRPr="00A336CB">
        <w:rPr>
          <w:szCs w:val="28"/>
        </w:rPr>
        <w:t>улицами Порт-Артурской, Широкой, полосой отвода железной дороги и Толмачевским шоссе</w:t>
      </w:r>
      <w:r>
        <w:rPr>
          <w:szCs w:val="28"/>
        </w:rPr>
        <w:t>,</w:t>
      </w:r>
      <w:r w:rsidRPr="00A336CB">
        <w:rPr>
          <w:szCs w:val="28"/>
        </w:rPr>
        <w:t xml:space="preserve"> в Ленинском районе</w:t>
      </w:r>
      <w:r w:rsidRPr="000C2940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E434CF" w:rsidRPr="000C2940" w:rsidRDefault="00E434CF" w:rsidP="006F5745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3.1. В приложении 1: </w:t>
      </w:r>
    </w:p>
    <w:p w:rsidR="00E434CF" w:rsidRPr="000C2940" w:rsidRDefault="00E434CF" w:rsidP="006F5745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3.1.1</w:t>
      </w:r>
      <w:r w:rsidRPr="00D87D8D">
        <w:rPr>
          <w:szCs w:val="28"/>
        </w:rPr>
        <w:t>. </w:t>
      </w:r>
      <w:r w:rsidRPr="00D87D8D">
        <w:rPr>
          <w:szCs w:val="24"/>
        </w:rPr>
        <w:t>В границах планировочного квартала 352.01.01.01 отобразить часть зоны улично-дорожной сети (ИТ-3), как зону застройки жилыми домами смешанной этажности (Ж-1)</w:t>
      </w:r>
      <w:r>
        <w:rPr>
          <w:szCs w:val="24"/>
        </w:rPr>
        <w:t xml:space="preserve"> и часть зоны озеленения (Р-2) отобразить как зону улично-дорожной сети (ИТ-3)</w:t>
      </w:r>
      <w:r>
        <w:rPr>
          <w:szCs w:val="28"/>
        </w:rPr>
        <w:t>;</w:t>
      </w:r>
    </w:p>
    <w:p w:rsidR="00E434CF" w:rsidRPr="000C2940" w:rsidRDefault="00E434CF" w:rsidP="00F1758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3.1.2. </w:t>
      </w:r>
      <w:r>
        <w:rPr>
          <w:szCs w:val="24"/>
        </w:rPr>
        <w:t>В границах планировочного квартала 352.01.02.02 отобразить соответствующим условным обозначением объект инженерной инфраструктуры – понизительную подстанцию.</w:t>
      </w:r>
    </w:p>
    <w:p w:rsidR="00E434CF" w:rsidRPr="000C2940" w:rsidRDefault="00E434CF" w:rsidP="00F17583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3.2. В приложении 2:</w:t>
      </w:r>
      <w:r w:rsidRPr="000C2940">
        <w:rPr>
          <w:szCs w:val="28"/>
        </w:rPr>
        <w:t xml:space="preserve"> </w:t>
      </w:r>
    </w:p>
    <w:p w:rsidR="00E434CF" w:rsidRDefault="00E434CF" w:rsidP="00F17583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3.2.1.</w:t>
      </w:r>
      <w:r w:rsidRPr="00AD51A8">
        <w:rPr>
          <w:szCs w:val="28"/>
        </w:rPr>
        <w:t xml:space="preserve"> </w:t>
      </w:r>
      <w:r>
        <w:rPr>
          <w:szCs w:val="28"/>
        </w:rPr>
        <w:t> Указать статус транспортно-пересадочных узлов;</w:t>
      </w:r>
    </w:p>
    <w:p w:rsidR="00E434CF" w:rsidRPr="00AD51A8" w:rsidRDefault="00E434CF" w:rsidP="00AD51A8">
      <w:pPr>
        <w:pStyle w:val="Caption"/>
        <w:widowControl/>
        <w:spacing w:before="0"/>
        <w:rPr>
          <w:szCs w:val="28"/>
        </w:rPr>
      </w:pPr>
      <w:r w:rsidRPr="00AD51A8">
        <w:rPr>
          <w:szCs w:val="28"/>
        </w:rPr>
        <w:t xml:space="preserve">3.2.2. </w:t>
      </w:r>
      <w:r>
        <w:rPr>
          <w:szCs w:val="28"/>
        </w:rPr>
        <w:t xml:space="preserve"> В границах планировочного квартала </w:t>
      </w:r>
      <w:r w:rsidRPr="00AD51A8">
        <w:rPr>
          <w:szCs w:val="24"/>
        </w:rPr>
        <w:t xml:space="preserve">352.01.01.01 </w:t>
      </w:r>
      <w:r>
        <w:rPr>
          <w:szCs w:val="28"/>
        </w:rPr>
        <w:t>отобразить второстепенные проезды в соответствии с условными обозначениями.</w:t>
      </w:r>
    </w:p>
    <w:p w:rsidR="00E434CF" w:rsidRDefault="00E434CF" w:rsidP="00910C40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3.3. В приложениях 1, 2</w:t>
      </w:r>
      <w:r w:rsidRPr="00910C40">
        <w:rPr>
          <w:szCs w:val="28"/>
        </w:rPr>
        <w:t>:</w:t>
      </w:r>
    </w:p>
    <w:p w:rsidR="00E434CF" w:rsidRPr="00910C40" w:rsidRDefault="00E434CF" w:rsidP="00910C40">
      <w:pPr>
        <w:pStyle w:val="Caption"/>
        <w:widowControl/>
        <w:spacing w:before="0"/>
        <w:rPr>
          <w:szCs w:val="24"/>
        </w:rPr>
      </w:pPr>
      <w:r>
        <w:rPr>
          <w:szCs w:val="24"/>
        </w:rPr>
        <w:t>Упорядочить конфигурацию красных линий на территории, ограниченной  перспективной улицей Дукача, улицами Невельского (Широкой), Порт-Артурской, Спортивной.</w:t>
      </w:r>
    </w:p>
    <w:p w:rsidR="00E434CF" w:rsidRPr="00910C40" w:rsidRDefault="00E434CF" w:rsidP="00910C40">
      <w:pPr>
        <w:pStyle w:val="Caption"/>
        <w:widowControl/>
        <w:spacing w:before="0"/>
        <w:rPr>
          <w:szCs w:val="24"/>
        </w:rPr>
      </w:pPr>
    </w:p>
    <w:p w:rsidR="00E434CF" w:rsidRPr="000C2940" w:rsidRDefault="00E434CF" w:rsidP="006F5745">
      <w:pPr>
        <w:rPr>
          <w:sz w:val="28"/>
          <w:szCs w:val="28"/>
        </w:rPr>
      </w:pPr>
    </w:p>
    <w:tbl>
      <w:tblPr>
        <w:tblW w:w="10348" w:type="dxa"/>
        <w:tblInd w:w="108" w:type="dxa"/>
        <w:tblLook w:val="00A0"/>
      </w:tblPr>
      <w:tblGrid>
        <w:gridCol w:w="6204"/>
        <w:gridCol w:w="4144"/>
      </w:tblGrid>
      <w:tr w:rsidR="00E434CF" w:rsidRPr="000C2940" w:rsidTr="00112522">
        <w:tc>
          <w:tcPr>
            <w:tcW w:w="6204" w:type="dxa"/>
          </w:tcPr>
          <w:p w:rsidR="00E434CF" w:rsidRPr="000C2940" w:rsidRDefault="00E434CF" w:rsidP="00112522">
            <w:pPr>
              <w:pStyle w:val="Caption"/>
              <w:widowControl/>
              <w:spacing w:before="0"/>
              <w:ind w:left="-108"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0C2940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</w:t>
            </w:r>
            <w:r>
              <w:rPr>
                <w:szCs w:val="28"/>
              </w:rPr>
              <w:t xml:space="preserve">улицами </w:t>
            </w:r>
            <w:r w:rsidRPr="00A336CB">
              <w:rPr>
                <w:szCs w:val="28"/>
              </w:rPr>
              <w:t>Порт-Артурской, Широкой, полосой отвода железной дороги и Толмачевским шоссе</w:t>
            </w:r>
            <w:r>
              <w:rPr>
                <w:szCs w:val="28"/>
              </w:rPr>
              <w:t>,</w:t>
            </w:r>
            <w:r w:rsidRPr="00A336CB">
              <w:rPr>
                <w:szCs w:val="28"/>
              </w:rPr>
              <w:t xml:space="preserve"> в Ленинском районе</w:t>
            </w:r>
            <w:r w:rsidRPr="000C2940">
              <w:rPr>
                <w:szCs w:val="28"/>
              </w:rPr>
              <w:t xml:space="preserve">», </w:t>
            </w:r>
            <w:r>
              <w:rPr>
                <w:szCs w:val="28"/>
              </w:rPr>
              <w:t xml:space="preserve">заместитель начальника департамента строительства и архитектуры </w:t>
            </w:r>
            <w:r w:rsidRPr="000C2940">
              <w:rPr>
                <w:szCs w:val="28"/>
              </w:rPr>
              <w:t xml:space="preserve">мэрии города Новосибирска </w:t>
            </w:r>
            <w:r>
              <w:rPr>
                <w:szCs w:val="28"/>
              </w:rPr>
              <w:t>– главный архитектор города</w:t>
            </w:r>
          </w:p>
        </w:tc>
        <w:tc>
          <w:tcPr>
            <w:tcW w:w="4144" w:type="dxa"/>
            <w:vAlign w:val="bottom"/>
          </w:tcPr>
          <w:p w:rsidR="00E434CF" w:rsidRPr="000C2940" w:rsidRDefault="00E434CF" w:rsidP="00112522">
            <w:pPr>
              <w:pStyle w:val="Caption"/>
              <w:widowControl/>
              <w:spacing w:before="0"/>
              <w:ind w:right="34"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 В. Фефелов</w:t>
            </w:r>
          </w:p>
        </w:tc>
      </w:tr>
      <w:tr w:rsidR="00E434CF" w:rsidRPr="000C2940" w:rsidTr="00112522">
        <w:tc>
          <w:tcPr>
            <w:tcW w:w="6204" w:type="dxa"/>
          </w:tcPr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both"/>
              <w:rPr>
                <w:color w:val="FF0000"/>
                <w:sz w:val="28"/>
                <w:szCs w:val="28"/>
              </w:rPr>
            </w:pPr>
          </w:p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both"/>
              <w:rPr>
                <w:color w:val="FF0000"/>
                <w:sz w:val="28"/>
                <w:szCs w:val="28"/>
              </w:rPr>
            </w:pPr>
          </w:p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144" w:type="dxa"/>
            <w:vAlign w:val="bottom"/>
          </w:tcPr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right"/>
              <w:rPr>
                <w:sz w:val="28"/>
                <w:szCs w:val="28"/>
              </w:rPr>
            </w:pPr>
          </w:p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right"/>
              <w:rPr>
                <w:sz w:val="28"/>
                <w:szCs w:val="28"/>
              </w:rPr>
            </w:pPr>
          </w:p>
          <w:p w:rsidR="00E434CF" w:rsidRPr="000C2940" w:rsidRDefault="00E434CF" w:rsidP="0011252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Ишуткина</w:t>
            </w:r>
          </w:p>
          <w:p w:rsidR="00E434CF" w:rsidRPr="000C2940" w:rsidRDefault="00E434CF" w:rsidP="00FA6DF6">
            <w:pPr>
              <w:widowControl/>
              <w:spacing w:line="240" w:lineRule="atLeast"/>
              <w:ind w:left="-2801" w:right="-391"/>
              <w:jc w:val="right"/>
              <w:rPr>
                <w:sz w:val="28"/>
                <w:szCs w:val="28"/>
              </w:rPr>
            </w:pPr>
          </w:p>
        </w:tc>
      </w:tr>
    </w:tbl>
    <w:p w:rsidR="00E434CF" w:rsidRDefault="00E434CF" w:rsidP="00112522">
      <w:pPr>
        <w:spacing w:line="240" w:lineRule="atLeast"/>
        <w:ind w:right="142"/>
        <w:jc w:val="center"/>
        <w:rPr>
          <w:sz w:val="28"/>
          <w:szCs w:val="28"/>
        </w:rPr>
        <w:sectPr w:rsidR="00E434CF" w:rsidSect="00866F04">
          <w:headerReference w:type="even" r:id="rId7"/>
          <w:headerReference w:type="default" r:id="rId8"/>
          <w:pgSz w:w="11909" w:h="16834"/>
          <w:pgMar w:top="567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48" w:type="dxa"/>
        <w:tblInd w:w="108" w:type="dxa"/>
        <w:tblLook w:val="01E0"/>
      </w:tblPr>
      <w:tblGrid>
        <w:gridCol w:w="10348"/>
      </w:tblGrid>
      <w:tr w:rsidR="00E434CF" w:rsidRPr="000C2940" w:rsidTr="00112522">
        <w:tc>
          <w:tcPr>
            <w:tcW w:w="10348" w:type="dxa"/>
          </w:tcPr>
          <w:p w:rsidR="00E434CF" w:rsidRPr="000C2940" w:rsidRDefault="00E434CF" w:rsidP="00112522">
            <w:pPr>
              <w:spacing w:line="240" w:lineRule="atLeast"/>
              <w:ind w:right="142"/>
              <w:jc w:val="center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Согласовано экспертами:</w:t>
            </w:r>
          </w:p>
        </w:tc>
      </w:tr>
      <w:tr w:rsidR="00E434CF" w:rsidRPr="000C2940" w:rsidTr="00112522">
        <w:tc>
          <w:tcPr>
            <w:tcW w:w="10348" w:type="dxa"/>
          </w:tcPr>
          <w:p w:rsidR="00E434CF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Pr="000C2940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Ющук</w:t>
            </w:r>
          </w:p>
        </w:tc>
      </w:tr>
      <w:tr w:rsidR="00E434CF" w:rsidRPr="000C2940" w:rsidTr="00112522">
        <w:tc>
          <w:tcPr>
            <w:tcW w:w="10348" w:type="dxa"/>
          </w:tcPr>
          <w:p w:rsidR="00E434CF" w:rsidRPr="000C2940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Pr="000C2940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Нестёркин</w:t>
            </w:r>
          </w:p>
        </w:tc>
      </w:tr>
      <w:tr w:rsidR="00E434CF" w:rsidRPr="000C2940" w:rsidTr="00112522">
        <w:tc>
          <w:tcPr>
            <w:tcW w:w="10348" w:type="dxa"/>
          </w:tcPr>
          <w:p w:rsidR="00E434CF" w:rsidRPr="000C2940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</w:p>
          <w:p w:rsidR="00E434CF" w:rsidRPr="000C2940" w:rsidRDefault="00E434CF" w:rsidP="00112522">
            <w:pPr>
              <w:spacing w:line="24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Ф. Мещерякова</w:t>
            </w:r>
          </w:p>
        </w:tc>
      </w:tr>
    </w:tbl>
    <w:p w:rsidR="00E434CF" w:rsidRPr="000C2940" w:rsidRDefault="00E434CF" w:rsidP="007A19D9">
      <w:pPr>
        <w:spacing w:line="240" w:lineRule="atLeast"/>
        <w:rPr>
          <w:sz w:val="28"/>
          <w:szCs w:val="28"/>
        </w:rPr>
      </w:pPr>
    </w:p>
    <w:sectPr w:rsidR="00E434CF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CF" w:rsidRDefault="00E434CF">
      <w:r>
        <w:separator/>
      </w:r>
    </w:p>
  </w:endnote>
  <w:endnote w:type="continuationSeparator" w:id="0">
    <w:p w:rsidR="00E434CF" w:rsidRDefault="00E4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CF" w:rsidRDefault="00E434CF">
      <w:r>
        <w:separator/>
      </w:r>
    </w:p>
  </w:footnote>
  <w:footnote w:type="continuationSeparator" w:id="0">
    <w:p w:rsidR="00E434CF" w:rsidRDefault="00E4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CF" w:rsidRDefault="00E434CF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4CF" w:rsidRDefault="00E434CF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CF" w:rsidRDefault="00E434CF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12522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91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4BC1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4B01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369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0C4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005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6CB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3D3E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51A8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C8D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87D8D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CF"/>
    <w:rsid w:val="00E451EA"/>
    <w:rsid w:val="00E5142F"/>
    <w:rsid w:val="00E516C6"/>
    <w:rsid w:val="00E52EFB"/>
    <w:rsid w:val="00E55B71"/>
    <w:rsid w:val="00E56B15"/>
    <w:rsid w:val="00E603CA"/>
    <w:rsid w:val="00E61B46"/>
    <w:rsid w:val="00E64DFD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6DF6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3</Pages>
  <Words>656</Words>
  <Characters>3741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50</cp:revision>
  <cp:lastPrinted>2015-09-09T04:25:00Z</cp:lastPrinted>
  <dcterms:created xsi:type="dcterms:W3CDTF">2014-10-12T09:23:00Z</dcterms:created>
  <dcterms:modified xsi:type="dcterms:W3CDTF">2015-09-09T04:32:00Z</dcterms:modified>
</cp:coreProperties>
</file>